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19"/>
          <w:szCs w:val="19"/>
        </w:rPr>
      </w:pPr>
      <w:r>
        <w:rPr>
          <w:rFonts w:cs="Arial"/>
          <w:b/>
          <w:bCs/>
          <w:color w:val="000000" w:themeColor="text1"/>
          <w:sz w:val="19"/>
          <w:szCs w:val="19"/>
        </w:rPr>
        <w:t>ANEXO III – Modelo de Proposta de Preços</w:t>
      </w:r>
    </w:p>
    <w:p>
      <w:pPr>
        <w:pStyle w:val="Standard"/>
        <w:ind w:right="-17" w:hanging="0"/>
        <w:jc w:val="center"/>
        <w:rPr>
          <w:sz w:val="19"/>
          <w:szCs w:val="19"/>
        </w:rPr>
      </w:pPr>
      <w:r>
        <w:rPr>
          <w:rFonts w:eastAsia="Times New Roman" w:ascii="Arial" w:hAnsi="Arial"/>
          <w:color w:val="000000" w:themeColor="text1"/>
          <w:sz w:val="19"/>
          <w:szCs w:val="19"/>
        </w:rPr>
        <w:t>Dispensa Eletrônica SRRF03 nº 2</w:t>
      </w:r>
      <w:r>
        <w:rPr>
          <w:rFonts w:eastAsia="Times New Roman" w:ascii="Arial" w:hAnsi="Arial"/>
          <w:color w:val="000000" w:themeColor="text1"/>
          <w:sz w:val="19"/>
          <w:szCs w:val="19"/>
        </w:rPr>
        <w:t>4</w:t>
      </w:r>
      <w:r>
        <w:rPr>
          <w:rFonts w:eastAsia="Times New Roman" w:ascii="Arial" w:hAnsi="Arial"/>
          <w:color w:val="000000" w:themeColor="text1"/>
          <w:sz w:val="19"/>
          <w:szCs w:val="19"/>
        </w:rPr>
        <w:t>/2023</w:t>
      </w:r>
    </w:p>
    <w:p>
      <w:pPr>
        <w:pStyle w:val="Standard"/>
        <w:shd w:val="clear" w:color="auto" w:fill="F2DBDB" w:themeFill="accent2" w:themeFillTint="33"/>
        <w:ind w:right="-17" w:hanging="0"/>
        <w:jc w:val="center"/>
        <w:rPr>
          <w:sz w:val="19"/>
          <w:szCs w:val="19"/>
        </w:rPr>
      </w:pPr>
      <w:r>
        <w:rPr>
          <w:rFonts w:eastAsia="Times New Roman" w:ascii="Arial" w:hAnsi="Arial"/>
          <w:sz w:val="19"/>
          <w:szCs w:val="19"/>
        </w:rPr>
        <w:t>(APRESENTAR EM PAPEL TIMBRADO DA EMPRESA)</w:t>
      </w:r>
    </w:p>
    <w:p>
      <w:pPr>
        <w:pStyle w:val="Standard"/>
        <w:ind w:firstLine="720"/>
        <w:jc w:val="both"/>
        <w:rPr>
          <w:sz w:val="19"/>
          <w:szCs w:val="19"/>
        </w:rPr>
      </w:pPr>
      <w:r>
        <w:rPr>
          <w:rFonts w:ascii="Arial" w:hAnsi="Arial"/>
          <w:sz w:val="19"/>
          <w:szCs w:val="19"/>
        </w:rPr>
        <w:t>Apresentamos abaixo nossa proposta de preços e condições de prestação dos serviços, conforme especificações constantes do Aviso de Dispensa Eletrônica SRRF03 nº 2</w:t>
      </w:r>
      <w:r>
        <w:rPr>
          <w:rFonts w:ascii="Arial" w:hAnsi="Arial"/>
          <w:sz w:val="19"/>
          <w:szCs w:val="19"/>
        </w:rPr>
        <w:t>4</w:t>
      </w:r>
      <w:r>
        <w:rPr>
          <w:rFonts w:ascii="Arial" w:hAnsi="Arial"/>
          <w:sz w:val="19"/>
          <w:szCs w:val="19"/>
        </w:rPr>
        <w:t>/2023 e seus anexos. Nossos preços são os constantes no quadro abaixo:</w:t>
      </w:r>
    </w:p>
    <w:p>
      <w:pPr>
        <w:pStyle w:val="Standard"/>
        <w:ind w:firstLine="720"/>
        <w:jc w:val="both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Standard"/>
        <w:ind w:hanging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8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468"/>
        <w:gridCol w:w="1361"/>
        <w:gridCol w:w="1189"/>
        <w:gridCol w:w="857"/>
        <w:gridCol w:w="1297"/>
        <w:gridCol w:w="911"/>
        <w:gridCol w:w="1016"/>
      </w:tblGrid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/>
                <w:bCs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b/>
                <w:bCs/>
                <w:kern w:val="0"/>
                <w:sz w:val="17"/>
                <w:szCs w:val="17"/>
                <w:lang w:val="pt-BR" w:eastAsia="en-US" w:bidi="ar-SA"/>
              </w:rPr>
              <w:t>Item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/>
                <w:bCs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b/>
                <w:bCs/>
                <w:kern w:val="0"/>
                <w:sz w:val="17"/>
                <w:szCs w:val="17"/>
                <w:lang w:val="pt-BR" w:eastAsia="en-US" w:bidi="ar-SA"/>
              </w:rPr>
              <w:t>Descrição dos Serviços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  <w:t>Local de prestação do serviço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  <w:t>Área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  <w:t>Valor por m² (R$)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  <w:t xml:space="preserve">Valor </w:t>
            </w:r>
            <w:r>
              <w:rPr>
                <w:rFonts w:ascii="Arial" w:hAnsi="Arial"/>
                <w:b/>
                <w:bCs/>
                <w:sz w:val="17"/>
                <w:szCs w:val="17"/>
              </w:rPr>
              <w:t>de 01 serviço de Dedetização</w:t>
            </w:r>
            <w:r>
              <w:rPr>
                <w:rFonts w:ascii="Arial" w:hAnsi="Arial"/>
                <w:b/>
                <w:bCs/>
                <w:sz w:val="17"/>
                <w:szCs w:val="17"/>
              </w:rPr>
              <w:t xml:space="preserve"> (R$)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  <w:t>Quant. de vezes durante 01 (um) ano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b/>
                <w:b/>
                <w:bCs/>
                <w:sz w:val="17"/>
                <w:szCs w:val="17"/>
              </w:rPr>
            </w:pPr>
            <w:r>
              <w:rPr>
                <w:rFonts w:ascii="Arial" w:hAnsi="Arial"/>
                <w:b/>
                <w:bCs/>
                <w:sz w:val="17"/>
                <w:szCs w:val="17"/>
              </w:rPr>
              <w:t>Valor Total (R$)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Alfândega do Porto de Fortaleza (ALF/FOR)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Avenida Vicente de Castro, 6971, Mucuripe, Fortaleza/CE, CEP: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60.180-410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2.936,87 m²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Caucaia (ARF/Caucaia)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Rua José Emídio da Rocha, 39, Padre Romualdo, Caucaia/CE,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CEP: 61.600-420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331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Maranguape (ARF/Maranguape)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Rua Coronel Alves Botelho de Sousa, 31, Centro, Maranguape/CE, CEP: 61.940-005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139,83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04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Itapipoca (ARF/Itapipoca)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Rua Eubia Barroso, 2800, Centro, Itapipoca/CE, CEP: 62.500-001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246,96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05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Quixadá (ARF/Quixadá)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Rua Rui Barbosa, 559, Centro, Quixadá/CE, CEP: 63.900-207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296,35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06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Sobral (ARF/Sobral)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A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A"/>
                <w:kern w:val="2"/>
                <w:sz w:val="17"/>
                <w:szCs w:val="17"/>
                <w:lang w:val="pt-BR" w:eastAsia="pt-BR" w:bidi="ar-SA"/>
              </w:rPr>
              <w:t>Avenida Eurípedes Ferreira Gomes, 720, Bairro Pedrinhas, Sobral/CE, CEP: 62.040-750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1.687,08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07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Crateús (ARF/Crateús)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A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A"/>
                <w:kern w:val="2"/>
                <w:sz w:val="17"/>
                <w:szCs w:val="17"/>
                <w:lang w:val="pt-BR" w:eastAsia="pt-BR" w:bidi="ar-SA"/>
              </w:rPr>
              <w:t>Rua Santos Dumont, 235, Bairro Centro, Crateús/Ce, CEP: 63.700-000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214,58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08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Ipu (Posto/Ipu)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A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A"/>
                <w:kern w:val="2"/>
                <w:sz w:val="17"/>
                <w:szCs w:val="17"/>
                <w:lang w:val="pt-BR" w:eastAsia="pt-BR" w:bidi="ar-SA"/>
              </w:rPr>
              <w:t>Avenida Auton Aragão, 1678, Bairro Canudos, Ipu/CE, CEP: 62.250-000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305,81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</w:t>
            </w: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9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Pinheiro (ARF/Pinheiro)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Rua José Anastácio, nº 460 – CEP: 65200-000 – Pinheiro/MA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126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</w:t>
            </w: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0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Santa Inês (ARF/Santa Inês)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Avenida Muniz, 474 Alto da, R. do Angelim, Santa Inês/MA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397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11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Imperatriz (ARF/Imperatriz)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Rua Rui Barbosa, 302, Centro, Imperatriz/MA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2.417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12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Caxias (ARF/Caxias)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Rua Aarão Reis, nº 809, Centro, Caxias/MA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451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13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Balsas (ARF/Balsas)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Rua Antônio Jacobina, Centro, Balsas/MA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174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14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do Depósito de Mercadoria Apreendida da Receita Federal em Teresina (DMA da DRF/TSA)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Rua João Cabral, 1607, Vermelha, Teresina-PI, CEP 64.018-030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458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15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Parnaíba (ARF/Parnaíba)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Praça da Graça nº 807, Centro, Parnaíba – PI, CEP: 64.200-970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845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16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Piripiri (ARF/Piripiri)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b w:val="false"/>
                <w:b w:val="false"/>
                <w:i w:val="false"/>
                <w:i w:val="false"/>
                <w:color w:val="000000"/>
                <w:kern w:val="2"/>
                <w:sz w:val="17"/>
                <w:szCs w:val="17"/>
              </w:rPr>
            </w:pPr>
            <w:r>
              <w:rPr>
                <w:rFonts w:cs="Arial" w:ascii="Arial" w:hAnsi="Arial"/>
                <w:b w:val="false"/>
                <w:i w:val="false"/>
                <w:color w:val="000000"/>
                <w:kern w:val="2"/>
                <w:sz w:val="17"/>
                <w:szCs w:val="17"/>
              </w:rPr>
              <w:t>Avenida 4 de julho nº 310, Centro, Piripiri – PI, CEP: 64.260-000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193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17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Picos (ARF/Picos)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i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Rua Nossa Senhora de Fátima, nº 754, Canto da Várzea, Picos/PI, CEP: 64.600-146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302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7"/>
                <w:szCs w:val="17"/>
                <w:lang w:val="pt-BR" w:eastAsia="en-US" w:bidi="ar-SA"/>
              </w:rPr>
              <w:t>18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</w:pPr>
            <w:r>
              <w:rPr>
                <w:rFonts w:eastAsia="" w:cs="Arial" w:ascii="Arial" w:hAnsi="Arial"/>
                <w:b w:val="false"/>
                <w:bCs w:val="false"/>
                <w:color w:val="000000"/>
                <w:kern w:val="0"/>
                <w:sz w:val="17"/>
                <w:szCs w:val="17"/>
                <w:u w:val="none"/>
                <w:lang w:val="pt-BR" w:eastAsia="en-US" w:bidi="ar-SA"/>
              </w:rPr>
              <w:t>Dedetização contrata baratas, moscas, aranhas, cupins, escorpião e insetos em geral do prédio da Receita Federal em Floriano (ARF/Floriano)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jc w:val="both"/>
              <w:rPr>
                <w:rFonts w:ascii="Arial" w:hAnsi="Arial"/>
                <w:sz w:val="17"/>
                <w:szCs w:val="17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color w:val="000000"/>
                <w:kern w:val="2"/>
                <w:sz w:val="17"/>
                <w:szCs w:val="17"/>
                <w:lang w:val="pt-BR" w:eastAsia="pt-BR" w:bidi="ar-SA"/>
              </w:rPr>
              <w:t>Rua Fernando Drumond, s/nº, Centro, Floriano/PI, CEP: 64.800-072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523 m²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02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cs="Arial" w:ascii="Arial" w:hAnsi="Arial"/>
                <w:sz w:val="17"/>
                <w:szCs w:val="17"/>
              </w:rPr>
              <w:t>R$</w:t>
            </w:r>
          </w:p>
        </w:tc>
      </w:tr>
      <w:tr>
        <w:trPr/>
        <w:tc>
          <w:tcPr>
            <w:tcW w:w="7704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/>
                <w:bCs/>
                <w:kern w:val="0"/>
                <w:sz w:val="17"/>
                <w:szCs w:val="17"/>
                <w:lang w:val="pt-BR" w:eastAsia="en-US" w:bidi="ar-SA"/>
              </w:rPr>
            </w:pPr>
            <w:r>
              <w:rPr>
                <w:rFonts w:eastAsia="" w:cs="Arial" w:ascii="Arial" w:hAnsi="Arial"/>
                <w:b/>
                <w:bCs/>
                <w:kern w:val="0"/>
                <w:sz w:val="17"/>
                <w:szCs w:val="17"/>
                <w:lang w:val="pt-BR" w:eastAsia="en-US" w:bidi="ar-SA"/>
              </w:rPr>
              <w:t>TOTAL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17"/>
                <w:szCs w:val="17"/>
              </w:rPr>
            </w:pPr>
            <w:r>
              <w:rPr>
                <w:rFonts w:cs="Arial" w:ascii="Arial" w:hAnsi="Arial"/>
                <w:b/>
                <w:bCs/>
                <w:sz w:val="17"/>
                <w:szCs w:val="17"/>
              </w:rPr>
              <w:t>R$</w:t>
            </w:r>
          </w:p>
        </w:tc>
      </w:tr>
    </w:tbl>
    <w:p>
      <w:pPr>
        <w:pStyle w:val="Normal"/>
        <w:ind w:left="-142" w:hanging="0"/>
        <w:rPr>
          <w:rFonts w:cs="Arial"/>
          <w:b/>
          <w:b/>
          <w:bCs/>
          <w:sz w:val="19"/>
          <w:szCs w:val="19"/>
        </w:rPr>
      </w:pPr>
      <w:r>
        <w:rPr>
          <w:rFonts w:cs="Arial"/>
          <w:b/>
          <w:bCs/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>Validade da Pro</w:t>
      </w:r>
      <w:r>
        <w:rPr>
          <w:rFonts w:cs="Arial"/>
          <w:b/>
          <w:bCs/>
          <w:color w:val="000000"/>
          <w:sz w:val="19"/>
          <w:szCs w:val="19"/>
        </w:rPr>
        <w:t>posta:</w:t>
      </w:r>
      <w:r>
        <w:rPr>
          <w:rFonts w:cs="Arial"/>
          <w:b w:val="false"/>
          <w:bCs w:val="false"/>
          <w:color w:val="000000"/>
          <w:sz w:val="19"/>
          <w:szCs w:val="19"/>
        </w:rPr>
        <w:t xml:space="preserve"> mínimo, 60 (sessenta) dias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b w:val="false"/>
          <w:bCs w:val="false"/>
          <w:color w:val="000000"/>
          <w:sz w:val="19"/>
          <w:szCs w:val="19"/>
        </w:rPr>
        <w:t>Garantia Mínima Prevista em Lei</w:t>
      </w:r>
    </w:p>
    <w:p>
      <w:pPr>
        <w:pStyle w:val="Normal"/>
        <w:ind w:left="-142" w:hanging="0"/>
        <w:jc w:val="both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jc w:val="both"/>
        <w:rPr>
          <w:sz w:val="19"/>
          <w:szCs w:val="19"/>
        </w:rPr>
      </w:pPr>
      <w:r>
        <w:rPr>
          <w:b w:val="false"/>
          <w:bCs w:val="false"/>
          <w:color w:val="000000"/>
          <w:sz w:val="19"/>
          <w:szCs w:val="19"/>
        </w:rPr>
        <w:t>Nos valores propostos foram consideradas todos os custos diretos e indiretos, inclusive frete, tributos e/ou taxas, impostos, encargos sociais e trabalhistas incidentes, equipamentos, seguro e outros necessário</w:t>
      </w:r>
      <w:r>
        <w:rPr>
          <w:sz w:val="19"/>
          <w:szCs w:val="19"/>
        </w:rPr>
        <w:t>s ao cumprimento integral do objeto conforme solicitado.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b/>
          <w:bCs/>
          <w:sz w:val="19"/>
          <w:szCs w:val="19"/>
        </w:rPr>
        <w:t>Dados da empresa:</w:t>
      </w:r>
    </w:p>
    <w:p>
      <w:pPr>
        <w:pStyle w:val="Normal"/>
        <w:ind w:left="-142" w:hanging="0"/>
        <w:rPr>
          <w:sz w:val="19"/>
          <w:szCs w:val="19"/>
        </w:rPr>
      </w:pPr>
      <w:bookmarkStart w:id="0" w:name="_Hlk80960523"/>
      <w:r>
        <w:rPr>
          <w:sz w:val="19"/>
          <w:szCs w:val="19"/>
        </w:rPr>
        <w:t>Razão Social:</w:t>
      </w:r>
      <w:bookmarkEnd w:id="0"/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CNPJ: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 xml:space="preserve">Nome Fantasia: 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Inscrição Estadual/Inscrição Municipal: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Endereço Completo: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E-mail: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Telefones: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Representante(s) Legal(is):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CPF/RG: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>Dados bancários da empresa para pagamento: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sz w:val="19"/>
          <w:szCs w:val="19"/>
        </w:rPr>
        <w:t>Banco/código: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sz w:val="19"/>
          <w:szCs w:val="19"/>
        </w:rPr>
        <w:t>Agência/código: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sz w:val="19"/>
          <w:szCs w:val="19"/>
        </w:rPr>
        <w:t>Conta Corrente:</w:t>
      </w:r>
    </w:p>
    <w:p>
      <w:pPr>
        <w:pStyle w:val="Standard"/>
        <w:spacing w:lineRule="auto" w:line="276" w:before="240" w:after="120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Cidade/Estado, ....... de ………… de 2023</w:t>
      </w:r>
    </w:p>
    <w:p>
      <w:pPr>
        <w:pStyle w:val="Standard"/>
        <w:jc w:val="center"/>
        <w:rPr>
          <w:rFonts w:ascii="Arial" w:hAnsi="Arial"/>
          <w:color w:val="000000"/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</w:r>
    </w:p>
    <w:p>
      <w:pPr>
        <w:pStyle w:val="Standard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Assinatura</w:t>
      </w:r>
    </w:p>
    <w:p>
      <w:pPr>
        <w:pStyle w:val="Standard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Nome do representante legal da empresa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7" w:top="1985" w:footer="709" w:bottom="1418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  <w:sz w:val="12"/>
        <w:szCs w:val="12"/>
      </w:rPr>
    </w:pPr>
    <w:r>
      <w:rPr>
        <w:rFonts w:cs="Times New Roman" w:ascii="Times New Roman" w:hAnsi="Times New Roman"/>
        <w:sz w:val="12"/>
        <w:szCs w:val="12"/>
      </w:rPr>
      <w:t xml:space="preserve">Superintendência Regional da Receita Federal do Brasil – 3ª Região – SRRF03 </w:t>
    </w:r>
  </w:p>
  <w:p>
    <w:pPr>
      <w:pStyle w:val="Rodap"/>
      <w:rPr>
        <w:rFonts w:cs="Arial"/>
        <w:sz w:val="12"/>
        <w:szCs w:val="12"/>
      </w:rPr>
    </w:pPr>
    <w:r>
      <w:rPr>
        <w:rFonts w:cs="Times New Roman" w:ascii="Times New Roman" w:hAnsi="Times New Roman"/>
        <w:sz w:val="12"/>
        <w:szCs w:val="12"/>
      </w:rPr>
      <w:t>Dispensa Eletrônica</w:t>
    </w:r>
  </w:p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widowControl/>
      <w:tabs>
        <w:tab w:val="clear" w:pos="4252"/>
        <w:tab w:val="clear" w:pos="8504"/>
        <w:tab w:val="left" w:pos="2550" w:leader="none"/>
        <w:tab w:val="center" w:pos="4419" w:leader="none"/>
        <w:tab w:val="right" w:pos="8838" w:leader="none"/>
      </w:tabs>
      <w:suppressAutoHyphens w:val="true"/>
      <w:bidi w:val="0"/>
      <w:spacing w:before="0" w:after="0"/>
      <w:ind w:left="0" w:right="0" w:hanging="0"/>
      <w:jc w:val="left"/>
      <w:rPr/>
    </w:pPr>
    <w:r>
      <w:rPr/>
      <w:drawing>
        <wp:inline distT="0" distB="0" distL="0" distR="0">
          <wp:extent cx="5760085" cy="811530"/>
          <wp:effectExtent l="0" t="0" r="0" b="0"/>
          <wp:docPr id="1" name="Imagem 3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11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Hyperlink"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Nfase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convertedspace" w:customStyle="1">
    <w:name w:val="apple-converted-space"/>
    <w:basedOn w:val="DefaultParagraphFont"/>
    <w:qFormat/>
    <w:rsid w:val="00f108db"/>
    <w:rPr/>
  </w:style>
  <w:style w:type="character" w:styleId="Scaytmisspellword" w:customStyle="1">
    <w:name w:val="scayt-misspell-word"/>
    <w:basedOn w:val="DefaultParagraphFont"/>
    <w:qFormat/>
    <w:rsid w:val="0047133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1" w:customStyle="1">
    <w:name w:val="Nivel_01"/>
    <w:basedOn w:val="Ttulo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styleId="SombreamentoMdio1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 w:hanging="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 w:hanging="0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 w:hanging="0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ONormal3">
    <w:name w:val="LO-Normal3"/>
    <w:qFormat/>
    <w:pPr>
      <w:widowControl w:val="false"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Corpodotextorecuado">
    <w:name w:val="Body Text Indent"/>
    <w:basedOn w:val="Normal"/>
    <w:pPr>
      <w:tabs>
        <w:tab w:val="clear" w:pos="720"/>
        <w:tab w:val="left" w:pos="1260" w:leader="none"/>
      </w:tabs>
      <w:suppressAutoHyphens w:val="true"/>
      <w:spacing w:lineRule="auto" w:line="360"/>
      <w:ind w:left="1416" w:right="0" w:hanging="516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LibreOffice/7.4.6.2$Windows_X86_64 LibreOffice_project/5b1f5509c2decdade7fda905e3e1429a67acd63d</Application>
  <AppVersion>15.0000</AppVersion>
  <Pages>4</Pages>
  <Words>842</Words>
  <Characters>4601</Characters>
  <CharactersWithSpaces>5251</CharactersWithSpaces>
  <Paragraphs>183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2022-07-25T21:19:00Z</dcterms:created>
  <dc:creator>Adriano</dc:creator>
  <dc:description/>
  <dc:language>pt-BR</dc:language>
  <cp:lastModifiedBy/>
  <cp:lastPrinted>2019-10-08T15:56:00Z</cp:lastPrinted>
  <dcterms:modified xsi:type="dcterms:W3CDTF">2023-04-25T16:27:12Z</dcterms:modified>
  <cp:revision>26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